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Договор пожертвования № _______</w:t>
      </w:r>
    </w:p>
    <w:p>
      <w:pPr>
        <w:pStyle w:val="Normal"/>
        <w:jc w:val="center"/>
        <w:rPr>
          <w:b/>
          <w:b/>
        </w:rPr>
      </w:pPr>
      <w:r>
        <w:rPr>
          <w:b/>
        </w:rPr>
        <w:t>на пополнение целевого капитала ПГНИУ</w:t>
      </w:r>
    </w:p>
    <w:p>
      <w:pPr>
        <w:pStyle w:val="Normal"/>
        <w:jc w:val="center"/>
        <w:rPr>
          <w:b/>
          <w:b/>
        </w:rPr>
      </w:pPr>
      <w:r>
        <w:rPr>
          <w:b/>
        </w:rPr>
      </w:r>
    </w:p>
    <w:p>
      <w:pPr>
        <w:pStyle w:val="Normal"/>
        <w:spacing w:lineRule="auto" w:line="480"/>
        <w:rPr/>
      </w:pPr>
      <w:r>
        <w:rPr/>
        <w:t>г. Пермь</w:t>
        <w:tab/>
        <w:tab/>
        <w:tab/>
        <w:t xml:space="preserve">                                                             «____»________________20__ г.</w:t>
      </w:r>
    </w:p>
    <w:p>
      <w:pPr>
        <w:pStyle w:val="Normal"/>
        <w:jc w:val="both"/>
        <w:rPr/>
      </w:pPr>
      <w:r>
        <w:rPr/>
        <w:t>Гражданин(ка)________________________________________________________, именуемый в дальнейшем «Жертвователь», с одной стороны, и Фонд целевого капитала Пермского университета,  именуемый в дальнейшем «Фонд», в лице директора Пуниной Ксении Александровны, действующей на основании Устава, с другой стороны, а вместе именуемые «Стороны», заключили настоящий договор пожертвования о нижеследующем:</w:t>
      </w:r>
    </w:p>
    <w:p>
      <w:pPr>
        <w:pStyle w:val="Normal"/>
        <w:jc w:val="both"/>
        <w:rPr/>
      </w:pPr>
      <w:r>
        <w:rPr/>
      </w:r>
    </w:p>
    <w:p>
      <w:pPr>
        <w:pStyle w:val="Normal"/>
        <w:jc w:val="center"/>
        <w:rPr>
          <w:b/>
          <w:b/>
        </w:rPr>
      </w:pPr>
      <w:r>
        <w:rPr>
          <w:b/>
        </w:rPr>
        <w:t>1. Предмет договора</w:t>
      </w:r>
    </w:p>
    <w:p>
      <w:pPr>
        <w:pStyle w:val="Normal"/>
        <w:jc w:val="both"/>
        <w:rPr/>
      </w:pPr>
      <w:r>
        <w:rPr/>
        <w:t>1.1. Жертвователь в соответствии с Федеральным законом Российской Федерации от 30.12.2006 г. № 275-ФЗ «О порядке формирования и использования целевого капитала некоммерческих организаций» безвозмездно передает в собственность Фонда денежные средства в размере ___________ (_________</w:t>
        <w:softHyphen/>
        <w:t xml:space="preserve">_________) рублей в качестве пожертвования на пополнение целевого капитала ПГНИУ (далее – Целевой капитал)  для целей, указанных в п. 1.5. настоящего договора. </w:t>
      </w:r>
    </w:p>
    <w:p>
      <w:pPr>
        <w:pStyle w:val="Normal"/>
        <w:jc w:val="both"/>
        <w:rPr/>
      </w:pPr>
      <w:r>
        <w:rPr/>
        <w:t>1.2. Жертвователь перечисляет указанные в п. 1.1. настоящего Договора денежные средства единовременно и в полном объеме на банковский счет Фонда в соответствии с реквизитами, указанными в разделе 6 настоящего Договора в течение 14 дней с момента подписания настоящего Договора.</w:t>
      </w:r>
    </w:p>
    <w:p>
      <w:pPr>
        <w:pStyle w:val="Normal"/>
        <w:jc w:val="both"/>
        <w:rPr/>
      </w:pPr>
      <w:r>
        <w:rPr/>
        <w:t>1.3. Денежные средства считаются переданными Фонду с момента их зачисления на банковский счет Фонда.</w:t>
      </w:r>
    </w:p>
    <w:p>
      <w:pPr>
        <w:pStyle w:val="Normal"/>
        <w:jc w:val="both"/>
        <w:rPr/>
      </w:pPr>
      <w:r>
        <w:rPr/>
        <w:t>1.4. Получателем дохода от Целевого капитала является 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 (ПГНИУ).</w:t>
      </w:r>
    </w:p>
    <w:p>
      <w:pPr>
        <w:pStyle w:val="Normal"/>
        <w:jc w:val="both"/>
        <w:rPr>
          <w:color w:val="FF0000"/>
        </w:rPr>
      </w:pPr>
      <w:r>
        <w:rPr/>
        <w:t xml:space="preserve">1.5. Доход от Целевого капитала используется на следующие цели: </w:t>
      </w:r>
    </w:p>
    <w:p>
      <w:pPr>
        <w:pStyle w:val="NoSpacing"/>
        <w:ind w:firstLine="567"/>
        <w:rPr>
          <w:rFonts w:eastAsia="Times New Roman"/>
          <w:szCs w:val="24"/>
          <w:lang w:eastAsia="ru-RU"/>
        </w:rPr>
      </w:pPr>
      <w:r>
        <w:rPr>
          <w:rFonts w:eastAsia="Times New Roman"/>
          <w:szCs w:val="24"/>
          <w:lang w:eastAsia="ru-RU"/>
        </w:rPr>
        <w:t>- материальная поддержка и финансирование деятельности молодых ученых, занятых в реализации перспективных НИР и НИОКР (специальные надбавки в системе оплаты труда, финансирование покупки оборудования и других расходов, связанных с реализацией научных проектов; оплата стажировок, командировок);</w:t>
      </w:r>
    </w:p>
    <w:p>
      <w:pPr>
        <w:pStyle w:val="Normal"/>
        <w:ind w:firstLine="567"/>
        <w:rPr/>
      </w:pPr>
      <w:r>
        <w:rPr/>
        <w:t xml:space="preserve"> </w:t>
      </w:r>
      <w:r>
        <w:rPr/>
        <w:t xml:space="preserve">- материальная поддержка молодых преподавателей, разрабатывающих и внедряющих передовые методы обучения, инновационные проекты и новые образовательные технологии; </w:t>
      </w:r>
    </w:p>
    <w:p>
      <w:pPr>
        <w:pStyle w:val="Normal"/>
        <w:ind w:firstLine="567"/>
        <w:rPr/>
      </w:pPr>
      <w:r>
        <w:rPr/>
        <w:t>- укрепление материальной базы образовательной деятельности ПГНИУ;</w:t>
      </w:r>
    </w:p>
    <w:p>
      <w:pPr>
        <w:pStyle w:val="Normal"/>
        <w:ind w:firstLine="567"/>
        <w:rPr/>
      </w:pPr>
      <w:r>
        <w:rPr/>
        <w:t>- установление и развитие международных связей ПГНИУ;</w:t>
      </w:r>
    </w:p>
    <w:p>
      <w:pPr>
        <w:pStyle w:val="NoSpacing"/>
        <w:ind w:firstLine="567"/>
        <w:rPr>
          <w:rFonts w:eastAsia="Times New Roman"/>
          <w:szCs w:val="24"/>
          <w:lang w:eastAsia="ru-RU"/>
        </w:rPr>
      </w:pPr>
      <w:r>
        <w:rPr>
          <w:rFonts w:eastAsia="Times New Roman"/>
          <w:szCs w:val="24"/>
          <w:lang w:eastAsia="ru-RU"/>
        </w:rPr>
        <w:t>- оказание содействия в коммерциализации результатов интеллектуальной деятельности руководителей научных школ, молодых ученых, докторантов, аспирантов и студентов ПГНИУ;</w:t>
      </w:r>
    </w:p>
    <w:p>
      <w:pPr>
        <w:pStyle w:val="NoSpacing"/>
        <w:ind w:firstLine="567"/>
        <w:rPr>
          <w:rFonts w:eastAsia="Times New Roman"/>
          <w:szCs w:val="24"/>
          <w:lang w:eastAsia="ru-RU"/>
        </w:rPr>
      </w:pPr>
      <w:r>
        <w:rPr>
          <w:rFonts w:eastAsia="Times New Roman"/>
          <w:szCs w:val="24"/>
          <w:lang w:eastAsia="ru-RU"/>
        </w:rPr>
        <w:t>- финансирование формирования и деятельности кадрового резерва;</w:t>
      </w:r>
    </w:p>
    <w:p>
      <w:pPr>
        <w:pStyle w:val="NoSpacing"/>
        <w:ind w:firstLine="567"/>
        <w:rPr>
          <w:rFonts w:eastAsia="Times New Roman"/>
          <w:szCs w:val="24"/>
          <w:lang w:eastAsia="ru-RU"/>
        </w:rPr>
      </w:pPr>
      <w:r>
        <w:rPr>
          <w:rFonts w:eastAsia="Times New Roman"/>
          <w:szCs w:val="24"/>
          <w:lang w:eastAsia="ru-RU"/>
        </w:rPr>
        <w:t>- содействие в разработке и реализации некоммерческих проектов и программ в сфере образования;</w:t>
      </w:r>
    </w:p>
    <w:p>
      <w:pPr>
        <w:pStyle w:val="NoSpacing"/>
        <w:ind w:firstLine="567"/>
        <w:rPr>
          <w:rFonts w:eastAsia="Times New Roman"/>
          <w:szCs w:val="24"/>
          <w:lang w:eastAsia="ru-RU"/>
        </w:rPr>
      </w:pPr>
      <w:r>
        <w:rPr>
          <w:rFonts w:eastAsia="Times New Roman"/>
          <w:szCs w:val="24"/>
          <w:lang w:eastAsia="ru-RU"/>
        </w:rPr>
        <w:t>- благоустройство территории ПГНИУ;</w:t>
      </w:r>
    </w:p>
    <w:p>
      <w:pPr>
        <w:pStyle w:val="NoSpacing"/>
        <w:ind w:firstLine="567"/>
        <w:rPr>
          <w:rFonts w:eastAsia="Times New Roman"/>
          <w:szCs w:val="24"/>
          <w:lang w:eastAsia="ru-RU"/>
        </w:rPr>
      </w:pPr>
      <w:r>
        <w:rPr>
          <w:rFonts w:eastAsia="Times New Roman"/>
          <w:szCs w:val="24"/>
          <w:lang w:eastAsia="ru-RU"/>
        </w:rPr>
        <w:t>- поддержка деятельности сообщества выпускников ПГНИУ;</w:t>
      </w:r>
    </w:p>
    <w:p>
      <w:pPr>
        <w:pStyle w:val="NoSpacing"/>
        <w:ind w:firstLine="567"/>
        <w:rPr>
          <w:rFonts w:eastAsia="Times New Roman"/>
          <w:szCs w:val="24"/>
          <w:lang w:eastAsia="ru-RU"/>
        </w:rPr>
      </w:pPr>
      <w:r>
        <w:rPr>
          <w:rFonts w:eastAsia="Times New Roman"/>
          <w:szCs w:val="24"/>
          <w:lang w:eastAsia="ru-RU"/>
        </w:rPr>
        <w:t>- стипендиальная и грантовая поддержка студентов, магистрантов и аспирантов ПГНИУ;</w:t>
      </w:r>
    </w:p>
    <w:p>
      <w:pPr>
        <w:pStyle w:val="NoSpacing"/>
        <w:ind w:firstLine="567"/>
        <w:rPr>
          <w:rFonts w:eastAsia="Times New Roman"/>
          <w:szCs w:val="24"/>
          <w:lang w:eastAsia="ru-RU"/>
        </w:rPr>
      </w:pPr>
      <w:r>
        <w:rPr>
          <w:rFonts w:eastAsia="Times New Roman"/>
          <w:szCs w:val="24"/>
          <w:lang w:eastAsia="ru-RU"/>
        </w:rPr>
        <w:t>- издательская деятельность, направленная на реализацию уставных целей Фонда;</w:t>
      </w:r>
    </w:p>
    <w:p>
      <w:pPr>
        <w:pStyle w:val="Normal"/>
        <w:ind w:firstLine="567"/>
        <w:jc w:val="both"/>
        <w:rPr/>
      </w:pPr>
      <w:r>
        <w:rPr/>
        <w:t xml:space="preserve">- на иные цели, определенные финансовым планом Фонда в соответствии с уставными целями деятельности Фонда. </w:t>
      </w:r>
    </w:p>
    <w:p>
      <w:pPr>
        <w:pStyle w:val="Normal"/>
        <w:jc w:val="center"/>
        <w:rPr>
          <w:b/>
          <w:b/>
        </w:rPr>
      </w:pPr>
      <w:r>
        <w:rPr>
          <w:b/>
        </w:rPr>
        <w:t>2. Права и обязанности Сторон</w:t>
      </w:r>
    </w:p>
    <w:p>
      <w:pPr>
        <w:pStyle w:val="Normal"/>
        <w:jc w:val="both"/>
        <w:rPr/>
      </w:pPr>
      <w:r>
        <w:rPr/>
        <w:t>2.1. Права и обязанности Жертвователя.</w:t>
      </w:r>
    </w:p>
    <w:p>
      <w:pPr>
        <w:pStyle w:val="Normal"/>
        <w:ind w:firstLine="708"/>
        <w:jc w:val="both"/>
        <w:rPr/>
      </w:pPr>
      <w:r>
        <w:rPr/>
        <w:t>2.1.1. Жертвователь, его наследники или иные правопреемники вправе получать информацию о пополнении Целевого капитала, доходе от доверительного управления целевым капиталом, а также об использовании дохода от целевого капитала, в который Жертвователем были внесены денежные средства, указанные в п.1.1, в порядке, установленном Федеральным законом Российской Федерации от 30.12.2006 №275-ФЗ «О порядке формирования и использования целевого капитала некоммерческих организаций».</w:t>
      </w:r>
    </w:p>
    <w:p>
      <w:pPr>
        <w:pStyle w:val="Normal"/>
        <w:ind w:firstLine="709"/>
        <w:jc w:val="both"/>
        <w:rPr/>
      </w:pPr>
      <w:r>
        <w:rPr/>
        <w:t>2.1.2. Жертвователь, его наследники или иные правопреемники вправе требовать отмены пожертвования, если такое пожертвование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w:t>
      </w:r>
    </w:p>
    <w:p>
      <w:pPr>
        <w:pStyle w:val="Normal"/>
        <w:ind w:firstLine="709"/>
        <w:jc w:val="both"/>
        <w:rPr/>
      </w:pPr>
      <w:r>
        <w:rPr/>
        <w:t>2.1.3. Жертвователь, его наследники или иные правопреемники вправе требовать отмены пожертвования, переданного на пополнение Целевого капитала, только после  направления Фонду в письменной форме предупреждения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 Российской Федерации. Размер требований Жертвователя или его правопреемников к Фонду в случае отмены пожертвования не может превышать сумму пожертвования.</w:t>
      </w:r>
    </w:p>
    <w:p>
      <w:pPr>
        <w:pStyle w:val="Normal"/>
        <w:ind w:firstLine="540"/>
        <w:jc w:val="both"/>
        <w:rPr/>
      </w:pPr>
      <w:r>
        <w:rPr/>
        <w:tab/>
        <w:t xml:space="preserve">2.1.4. Жертвователь, его наследники или иные правопреемники вправе потребовать включить себя или своего представителя в состав Попечительского совета Фонда, если размер пожертвования Жертвователя составляет более 10 процентов балансовой стоимости имущества, составляющего Целевой капитал, на последнюю отчетную дату. </w:t>
      </w:r>
    </w:p>
    <w:p>
      <w:pPr>
        <w:pStyle w:val="Normal"/>
        <w:jc w:val="both"/>
        <w:rPr/>
      </w:pPr>
      <w:r>
        <w:rPr/>
        <w:t>2.2. Обязанности Фонда:</w:t>
      </w:r>
    </w:p>
    <w:p>
      <w:pPr>
        <w:pStyle w:val="Normal"/>
        <w:ind w:firstLine="708"/>
        <w:jc w:val="both"/>
        <w:rPr/>
      </w:pPr>
      <w:r>
        <w:rPr/>
        <w:t>2.2.1. Фонд обязан использовать доход от Целевого капитала в соответствии с целями, указанными в п.1.5 настоящего Договора, если они не противоречат уставной деятельности Фонда.</w:t>
      </w:r>
    </w:p>
    <w:p>
      <w:pPr>
        <w:pStyle w:val="Normal"/>
        <w:ind w:firstLine="709"/>
        <w:jc w:val="both"/>
        <w:rPr/>
      </w:pPr>
      <w:r>
        <w:rPr/>
        <w:t xml:space="preserve">2.2.2. Фонд обязан передавать денежные средства, полученные на пополнение сформированного целевого капитала, в доверительное управление управляющей компании в течение 10 дней со дня их получения. </w:t>
      </w:r>
    </w:p>
    <w:p>
      <w:pPr>
        <w:pStyle w:val="Normal"/>
        <w:ind w:firstLine="720"/>
        <w:jc w:val="both"/>
        <w:rPr/>
      </w:pPr>
      <w:r>
        <w:rPr/>
        <w:t xml:space="preserve">   </w:t>
      </w:r>
      <w:r>
        <w:rPr/>
        <w:t>2.2.3. Фонд обязан опубликовать годовой отчет о формировании Целевого капитала и об использовании, о распределении дохода от Целевого капитала на сайте Фонда в сети Интернет в течение 10 дней с даты утверждения годового отчета или внесения в него изменений.</w:t>
      </w:r>
    </w:p>
    <w:p>
      <w:pPr>
        <w:pStyle w:val="Normal"/>
        <w:ind w:firstLine="708"/>
        <w:jc w:val="both"/>
        <w:rPr/>
      </w:pPr>
      <w:r>
        <w:rPr/>
        <w:t>2.2.4. Фонд обязан вести обособленный бухгалтерский учет всех операций, связанных с получением денежных средств на пополнение Целевого капитала, а также с использованием, распределением дохода от Целевого капитала.</w:t>
      </w:r>
    </w:p>
    <w:p>
      <w:pPr>
        <w:pStyle w:val="Normal"/>
        <w:ind w:firstLine="708"/>
        <w:jc w:val="both"/>
        <w:rPr/>
      </w:pPr>
      <w:r>
        <w:rPr/>
        <w:t>2.2.5. Фонд обязан принять решение о расформировании Целевого капитала в случаях, установленных Федеральным законом Российской Федерации от 30.12.2006 г. № 275-ФЗ «О порядке формирования и использования целевого капитала некоммерческих организаций»</w:t>
      </w:r>
    </w:p>
    <w:p>
      <w:pPr>
        <w:pStyle w:val="Normal"/>
        <w:jc w:val="both"/>
        <w:rPr/>
      </w:pPr>
      <w:r>
        <w:rPr/>
        <w:t>2.3. Права Фонда:</w:t>
      </w:r>
    </w:p>
    <w:p>
      <w:pPr>
        <w:pStyle w:val="Normal"/>
        <w:ind w:firstLine="720"/>
        <w:jc w:val="both"/>
        <w:rPr/>
      </w:pPr>
      <w:r>
        <w:rPr/>
        <w:t xml:space="preserve">2.3.1. Фонд вправе определять назначение и цели использования дохода от Целевого капитала, срок, на который сформирован Целевой капитал, объем  выплат за счет дохода от Целевого капитала, периодичность и порядок их осуществления по решению Попечительского совета Фонда, если это не было определено Жертвователем в настоящем Договоре. </w:t>
      </w:r>
    </w:p>
    <w:p>
      <w:pPr>
        <w:pStyle w:val="Normal"/>
        <w:ind w:firstLine="720"/>
        <w:jc w:val="both"/>
        <w:rPr/>
      </w:pPr>
      <w:r>
        <w:rPr/>
        <w:t xml:space="preserve">2.3.2. Фонд вправе использовать на административно-управленческие расходы, связанные с формированием и пополнением Целевого капитала и осуществлением деятельности,  финансируемой за счет дохода от Целевого капитала, не более 15 процентов суммы  дохода от доверительного управления имуществом, составляющим Целевой капитал, или не более 10 процентов суммы дохода от Целевого капитала, поступившего за отчетный год. </w:t>
      </w:r>
    </w:p>
    <w:p>
      <w:pPr>
        <w:pStyle w:val="Normal"/>
        <w:ind w:firstLine="720"/>
        <w:jc w:val="both"/>
        <w:rPr/>
      </w:pPr>
      <w:r>
        <w:rPr/>
        <w:t>2.3.3. Фонд  вправе использовать не весь полученный доход от доверительного управления имуществом, составляющим Целевой капитал, при условии выполнения  обязательств по настоящему Договору, иным договорам пожертвования, условий завещаний, а в случаях, предусмотренных Федеральным законом Российской Федерации  от 30.12.2006 г. № 275-ФЗ «О порядке формирования и использования Целевого капитала некоммерческих организаций», решений Попечительского совета Фонда. При этом размер неиспользованного дохода от доверительного управления имуществом, составляющим Целевой капитал, не может быть более 50 процентов такого дохода за два года подряд.</w:t>
      </w:r>
    </w:p>
    <w:p>
      <w:pPr>
        <w:pStyle w:val="Normal"/>
        <w:ind w:firstLine="720"/>
        <w:jc w:val="both"/>
        <w:rPr/>
      </w:pPr>
      <w:r>
        <w:rPr/>
        <w:tab/>
      </w:r>
    </w:p>
    <w:p>
      <w:pPr>
        <w:pStyle w:val="Normal"/>
        <w:jc w:val="center"/>
        <w:rPr>
          <w:b/>
          <w:b/>
        </w:rPr>
      </w:pPr>
      <w:r>
        <w:rPr>
          <w:b/>
        </w:rPr>
        <w:t>3. Разрешение споров</w:t>
      </w:r>
    </w:p>
    <w:p>
      <w:pPr>
        <w:pStyle w:val="Normal"/>
        <w:jc w:val="both"/>
        <w:rPr/>
      </w:pPr>
      <w:r>
        <w:rPr/>
        <w:t>3.1. Все споры и разногласия, которые могут возникнуть между сторонами, решаются путем переговоров.</w:t>
      </w:r>
    </w:p>
    <w:p>
      <w:pPr>
        <w:pStyle w:val="Normal"/>
        <w:jc w:val="both"/>
        <w:rPr/>
      </w:pPr>
      <w:r>
        <w:rPr/>
        <w:t>3.2. При невозможности урегулирования спорных вопросов в процессе переговоров споры разрешаются в суде в соответствии с законодательством Российской Федерации.</w:t>
      </w:r>
    </w:p>
    <w:p>
      <w:pPr>
        <w:pStyle w:val="Normal"/>
        <w:jc w:val="both"/>
        <w:rPr/>
      </w:pPr>
      <w:r>
        <w:rPr/>
      </w:r>
    </w:p>
    <w:p>
      <w:pPr>
        <w:pStyle w:val="Normal"/>
        <w:jc w:val="center"/>
        <w:rPr>
          <w:b/>
          <w:b/>
        </w:rPr>
      </w:pPr>
      <w:r>
        <w:rPr>
          <w:b/>
        </w:rPr>
        <w:t>4. Срок действия договора</w:t>
      </w:r>
    </w:p>
    <w:p>
      <w:pPr>
        <w:pStyle w:val="Normal"/>
        <w:jc w:val="both"/>
        <w:rPr/>
      </w:pPr>
      <w:r>
        <w:rPr/>
        <w:t>4.1. 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pPr>
        <w:pStyle w:val="Normal"/>
        <w:jc w:val="center"/>
        <w:rPr>
          <w:b/>
          <w:b/>
        </w:rPr>
      </w:pPr>
      <w:r>
        <w:rPr>
          <w:b/>
        </w:rPr>
      </w:r>
    </w:p>
    <w:p>
      <w:pPr>
        <w:pStyle w:val="Normal"/>
        <w:jc w:val="center"/>
        <w:rPr>
          <w:b/>
          <w:b/>
        </w:rPr>
      </w:pPr>
      <w:r>
        <w:rPr>
          <w:b/>
        </w:rPr>
        <w:t>5. Заключительные положения</w:t>
      </w:r>
    </w:p>
    <w:p>
      <w:pPr>
        <w:pStyle w:val="Normal"/>
        <w:jc w:val="both"/>
        <w:rPr/>
      </w:pPr>
      <w:r>
        <w:rPr/>
        <w:t>5.1. Жертвователь______________________            _________________________</w:t>
      </w:r>
    </w:p>
    <w:p>
      <w:pPr>
        <w:pStyle w:val="Normal"/>
        <w:jc w:val="both"/>
        <w:rPr>
          <w:sz w:val="20"/>
          <w:szCs w:val="20"/>
        </w:rPr>
      </w:pPr>
      <w:r>
        <w:rPr/>
        <w:t xml:space="preserve">        </w:t>
      </w:r>
      <w:r>
        <w:rPr>
          <w:sz w:val="20"/>
          <w:szCs w:val="20"/>
        </w:rPr>
        <w:tab/>
        <w:tab/>
        <w:t xml:space="preserve">              (согласен /не согласен)</w:t>
        <w:tab/>
        <w:tab/>
        <w:tab/>
        <w:t xml:space="preserve">        (подпись)</w:t>
      </w:r>
    </w:p>
    <w:p>
      <w:pPr>
        <w:pStyle w:val="Normal"/>
        <w:jc w:val="both"/>
        <w:rPr/>
      </w:pPr>
      <w:r>
        <w:rPr/>
        <w:t xml:space="preserve"> </w:t>
      </w:r>
      <w:r>
        <w:rPr/>
        <w:t>на упоминание его имени (ФИО) на официальном сайте и в иных публичных материалах Фонда.</w:t>
      </w:r>
    </w:p>
    <w:p>
      <w:pPr>
        <w:pStyle w:val="Normal"/>
        <w:jc w:val="both"/>
        <w:rPr/>
      </w:pPr>
      <w:r>
        <w:rPr/>
        <w:t>5.2. Жертвователь _____________________            _________________________</w:t>
      </w:r>
    </w:p>
    <w:p>
      <w:pPr>
        <w:pStyle w:val="Normal"/>
        <w:jc w:val="both"/>
        <w:rPr>
          <w:sz w:val="20"/>
          <w:szCs w:val="20"/>
        </w:rPr>
      </w:pPr>
      <w:r>
        <w:rPr/>
        <w:t xml:space="preserve">        </w:t>
      </w:r>
      <w:r>
        <w:rPr>
          <w:sz w:val="20"/>
          <w:szCs w:val="20"/>
        </w:rPr>
        <w:tab/>
        <w:tab/>
        <w:t xml:space="preserve">              (согласен /не согласен)</w:t>
        <w:tab/>
        <w:tab/>
        <w:tab/>
        <w:t xml:space="preserve">        (подпись)</w:t>
      </w:r>
    </w:p>
    <w:p>
      <w:pPr>
        <w:pStyle w:val="Normal"/>
        <w:jc w:val="both"/>
        <w:rPr>
          <w:spacing w:val="-4"/>
        </w:rPr>
      </w:pPr>
      <w:r>
        <w:rPr>
          <w:spacing w:val="-4"/>
        </w:rPr>
        <w:t>на упоминание его должности, образования, звания, ученой степени, профессиональных достижений, наград на официальном сайте и в иных публичных материалах Фонда.</w:t>
      </w:r>
    </w:p>
    <w:p>
      <w:pPr>
        <w:pStyle w:val="Normal"/>
        <w:jc w:val="both"/>
        <w:rPr/>
      </w:pPr>
      <w:r>
        <w:rPr>
          <w:spacing w:val="-4"/>
        </w:rPr>
        <w:t>5.3</w:t>
      </w:r>
      <w:r>
        <w:rPr/>
        <w:t xml:space="preserve"> Жертвователь _____________________            _________________________</w:t>
      </w:r>
    </w:p>
    <w:p>
      <w:pPr>
        <w:pStyle w:val="Normal"/>
        <w:jc w:val="both"/>
        <w:rPr>
          <w:sz w:val="20"/>
          <w:szCs w:val="20"/>
        </w:rPr>
      </w:pPr>
      <w:r>
        <w:rPr/>
        <w:t xml:space="preserve">        </w:t>
      </w:r>
      <w:r>
        <w:rPr>
          <w:sz w:val="20"/>
          <w:szCs w:val="20"/>
        </w:rPr>
        <w:tab/>
        <w:tab/>
        <w:t xml:space="preserve">              (согласен /не согласен)</w:t>
        <w:tab/>
        <w:tab/>
        <w:tab/>
        <w:t xml:space="preserve">        (подпись)</w:t>
      </w:r>
    </w:p>
    <w:p>
      <w:pPr>
        <w:pStyle w:val="Normal"/>
        <w:jc w:val="both"/>
        <w:rPr>
          <w:spacing w:val="-4"/>
        </w:rPr>
      </w:pPr>
      <w:r>
        <w:rPr>
          <w:spacing w:val="-4"/>
        </w:rPr>
        <w:t>на упоминание размера его пожертвования на официальном сайте и в иных публичных материалах Фонда.</w:t>
      </w:r>
    </w:p>
    <w:p>
      <w:pPr>
        <w:pStyle w:val="Normal"/>
        <w:jc w:val="both"/>
        <w:rPr/>
      </w:pPr>
      <w:r>
        <w:rPr/>
        <w:t>5.4. Жертвователь в течение срока действия настоящего Договора имеет право в письменном виде предоставить свое согласие или отозвать свое согласие на упоминание его имени (ФИО), должности</w:t>
      </w:r>
      <w:r>
        <w:rPr>
          <w:spacing w:val="-4"/>
        </w:rPr>
        <w:t>, образования, звания, ученой степени, профессиональных достижений, наград</w:t>
      </w:r>
      <w:r>
        <w:rPr/>
        <w:t xml:space="preserve"> и размера пожертвования на официальном сайте и в иных публичных материалах Фонда.</w:t>
      </w:r>
    </w:p>
    <w:p>
      <w:pPr>
        <w:pStyle w:val="Normal"/>
        <w:jc w:val="both"/>
        <w:rPr/>
      </w:pPr>
      <w:r>
        <w:rPr/>
        <w:t>5.5. Во всем остальном, что не предусмотрено настоящим Договором, стороны руководствуются Уставом Фонда и действующим законодательством РФ.</w:t>
      </w:r>
    </w:p>
    <w:p>
      <w:pPr>
        <w:pStyle w:val="Normal"/>
        <w:jc w:val="both"/>
        <w:rPr/>
      </w:pPr>
      <w:r>
        <w:rPr/>
        <w:t>5.6. Настоящий Договор составлен в двух экземплярах, имеющих одинаковую юридическую силу, по одному для каждой из сторон.</w:t>
      </w:r>
    </w:p>
    <w:p>
      <w:pPr>
        <w:pStyle w:val="Normal"/>
        <w:jc w:val="both"/>
        <w:rPr/>
      </w:pPr>
      <w:r>
        <w:rPr/>
      </w:r>
    </w:p>
    <w:p>
      <w:pPr>
        <w:pStyle w:val="Normal"/>
        <w:jc w:val="center"/>
        <w:rPr>
          <w:b/>
          <w:b/>
        </w:rPr>
      </w:pPr>
      <w:r>
        <w:rPr>
          <w:b/>
        </w:rPr>
        <w:t>6. Адреса и реквизиты сторон</w:t>
      </w:r>
    </w:p>
    <w:p>
      <w:pPr>
        <w:pStyle w:val="Normal"/>
        <w:jc w:val="center"/>
        <w:rPr>
          <w:b/>
          <w:b/>
        </w:rPr>
      </w:pPr>
      <w:r>
        <w:rPr>
          <w:b/>
        </w:rPr>
      </w:r>
    </w:p>
    <w:tbl>
      <w:tblPr>
        <w:tblW w:w="10454" w:type="dxa"/>
        <w:jc w:val="left"/>
        <w:tblInd w:w="-34" w:type="dxa"/>
        <w:tblBorders/>
        <w:tblCellMar>
          <w:top w:w="0" w:type="dxa"/>
          <w:left w:w="108" w:type="dxa"/>
          <w:bottom w:w="0" w:type="dxa"/>
          <w:right w:w="108" w:type="dxa"/>
        </w:tblCellMar>
        <w:tblLook w:lastRow="0" w:firstRow="0" w:lastColumn="0" w:firstColumn="0" w:val="0000" w:noHBand="0" w:noVBand="0"/>
      </w:tblPr>
      <w:tblGrid>
        <w:gridCol w:w="4820"/>
        <w:gridCol w:w="5633"/>
      </w:tblGrid>
      <w:tr>
        <w:trPr>
          <w:trHeight w:val="367" w:hRule="atLeast"/>
        </w:trPr>
        <w:tc>
          <w:tcPr>
            <w:tcW w:w="4820" w:type="dxa"/>
            <w:tcBorders/>
            <w:shd w:fill="auto" w:val="clear"/>
          </w:tcPr>
          <w:p>
            <w:pPr>
              <w:pStyle w:val="Normal"/>
              <w:jc w:val="both"/>
              <w:rPr>
                <w:b/>
                <w:b/>
              </w:rPr>
            </w:pPr>
            <w:r>
              <w:rPr>
                <w:b/>
              </w:rPr>
              <w:t xml:space="preserve">Жертвователь:                                                                                                       </w:t>
            </w:r>
          </w:p>
          <w:p>
            <w:pPr>
              <w:pStyle w:val="ConsPlusNormal"/>
              <w:numPr>
                <w:ilvl w:val="0"/>
                <w:numId w:val="0"/>
              </w:numPr>
              <w:spacing w:lineRule="exact" w:line="240"/>
              <w:ind w:hanging="0"/>
              <w:jc w:val="center"/>
              <w:outlineLvl w:val="0"/>
              <w:rPr>
                <w:rFonts w:ascii="Times New Roman" w:hAnsi="Times New Roman" w:cs="Times New Roman"/>
                <w:sz w:val="24"/>
                <w:szCs w:val="24"/>
              </w:rPr>
            </w:pPr>
            <w:r>
              <w:rPr>
                <w:rFonts w:cs="Times New Roman" w:ascii="Times New Roman" w:hAnsi="Times New Roman"/>
                <w:sz w:val="24"/>
                <w:szCs w:val="24"/>
              </w:rPr>
            </w:r>
          </w:p>
          <w:p>
            <w:pPr>
              <w:pStyle w:val="Normal"/>
              <w:ind w:right="-1" w:hanging="0"/>
              <w:jc w:val="both"/>
              <w:rPr>
                <w:b/>
                <w:b/>
              </w:rPr>
            </w:pPr>
            <w:r>
              <w:rPr>
                <w:b/>
              </w:rPr>
              <w:t>____________________________________</w:t>
            </w:r>
          </w:p>
          <w:p>
            <w:pPr>
              <w:pStyle w:val="Normal"/>
              <w:ind w:right="-1" w:hanging="0"/>
              <w:jc w:val="center"/>
              <w:rPr>
                <w:sz w:val="16"/>
                <w:szCs w:val="16"/>
              </w:rPr>
            </w:pPr>
            <w:r>
              <w:rPr>
                <w:sz w:val="16"/>
                <w:szCs w:val="16"/>
              </w:rPr>
              <w:t>Ф.И.О.</w:t>
            </w:r>
          </w:p>
          <w:p>
            <w:pPr>
              <w:pStyle w:val="Normal"/>
              <w:ind w:right="-1" w:hanging="0"/>
              <w:jc w:val="both"/>
              <w:rPr/>
            </w:pPr>
            <w:r>
              <w:rPr/>
              <w:t>____________________________________</w:t>
            </w:r>
          </w:p>
          <w:p>
            <w:pPr>
              <w:pStyle w:val="Normal"/>
              <w:ind w:right="-1" w:hanging="0"/>
              <w:jc w:val="both"/>
              <w:rPr/>
            </w:pPr>
            <w:r>
              <w:rPr/>
            </w:r>
          </w:p>
          <w:p>
            <w:pPr>
              <w:pStyle w:val="Normal"/>
              <w:ind w:right="-1" w:hanging="0"/>
              <w:jc w:val="both"/>
              <w:rPr/>
            </w:pPr>
            <w:r>
              <w:rPr/>
              <w:t>Адрес _____________________________</w:t>
            </w:r>
          </w:p>
          <w:p>
            <w:pPr>
              <w:pStyle w:val="Normal"/>
              <w:ind w:right="-1" w:hanging="0"/>
              <w:jc w:val="both"/>
              <w:rPr/>
            </w:pPr>
            <w:r>
              <w:rPr/>
              <w:t>___________________________________</w:t>
            </w:r>
          </w:p>
          <w:p>
            <w:pPr>
              <w:pStyle w:val="Normal"/>
              <w:ind w:right="-1" w:hanging="0"/>
              <w:jc w:val="both"/>
              <w:rPr/>
            </w:pPr>
            <w:r>
              <w:rPr/>
              <w:t>Тел.________________________________</w:t>
            </w:r>
          </w:p>
          <w:p>
            <w:pPr>
              <w:pStyle w:val="Normal"/>
              <w:ind w:right="-1" w:hanging="0"/>
              <w:jc w:val="both"/>
              <w:rPr/>
            </w:pPr>
            <w:r>
              <w:rPr/>
              <w:t>e-mail ____________________________</w:t>
              <w:softHyphen/>
              <w:softHyphen/>
              <w:softHyphen/>
              <w:softHyphen/>
              <w:softHyphen/>
              <w:softHyphen/>
              <w:t>__</w:t>
            </w:r>
          </w:p>
          <w:p>
            <w:pPr>
              <w:pStyle w:val="Normal"/>
              <w:ind w:right="-1" w:hanging="0"/>
              <w:jc w:val="both"/>
              <w:rPr>
                <w:b/>
                <w:b/>
                <w:bCs/>
              </w:rPr>
            </w:pPr>
            <w:r>
              <w:rPr>
                <w:b/>
                <w:bCs/>
              </w:rPr>
            </w:r>
          </w:p>
          <w:p>
            <w:pPr>
              <w:pStyle w:val="Normal"/>
              <w:ind w:right="-1" w:hanging="0"/>
              <w:jc w:val="both"/>
              <w:rPr/>
            </w:pPr>
            <w:r>
              <w:rPr/>
              <w:t>Паспорт: серия ________№____________</w:t>
            </w:r>
          </w:p>
          <w:p>
            <w:pPr>
              <w:pStyle w:val="Normal"/>
              <w:ind w:right="-1" w:hanging="0"/>
              <w:jc w:val="both"/>
              <w:rPr/>
            </w:pPr>
            <w:r>
              <w:rPr/>
              <w:t>выдан _____________________________</w:t>
            </w:r>
          </w:p>
          <w:p>
            <w:pPr>
              <w:pStyle w:val="Normal"/>
              <w:ind w:right="-1" w:hanging="0"/>
              <w:jc w:val="both"/>
              <w:rPr/>
            </w:pPr>
            <w:r>
              <w:rPr/>
              <w:t>___________________________________</w:t>
            </w:r>
          </w:p>
          <w:p>
            <w:pPr>
              <w:pStyle w:val="Normal"/>
              <w:ind w:right="-1" w:hanging="0"/>
              <w:jc w:val="both"/>
              <w:rPr/>
            </w:pPr>
            <w:r>
              <w:rPr/>
              <w:t>___________________________________</w:t>
            </w:r>
          </w:p>
          <w:p>
            <w:pPr>
              <w:pStyle w:val="BodyTextIndent2"/>
              <w:spacing w:lineRule="auto" w:line="240" w:before="0" w:after="0"/>
              <w:ind w:left="0" w:hanging="0"/>
              <w:rPr>
                <w:b/>
                <w:b/>
                <w:bCs/>
              </w:rPr>
            </w:pPr>
            <w:r>
              <w:rPr>
                <w:b/>
                <w:bCs/>
              </w:rPr>
              <w:t>___________________________________</w:t>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t>Жертвователь</w:t>
            </w:r>
          </w:p>
          <w:p>
            <w:pPr>
              <w:pStyle w:val="BodyTextIndent2"/>
              <w:spacing w:lineRule="auto" w:line="240" w:before="0" w:after="0"/>
              <w:ind w:left="0" w:hanging="0"/>
              <w:rPr>
                <w:b/>
                <w:b/>
                <w:bCs/>
              </w:rPr>
            </w:pPr>
            <w:r>
              <w:rPr>
                <w:b/>
                <w:bCs/>
              </w:rPr>
            </w:r>
          </w:p>
          <w:p>
            <w:pPr>
              <w:pStyle w:val="Normal"/>
              <w:jc w:val="both"/>
              <w:rPr/>
            </w:pPr>
            <w:r>
              <w:rPr/>
              <w:t>______________/____________________/</w:t>
            </w:r>
          </w:p>
          <w:p>
            <w:pPr>
              <w:pStyle w:val="Normal"/>
              <w:jc w:val="both"/>
              <w:rPr/>
            </w:pPr>
            <w:r>
              <w:rPr/>
              <w:t xml:space="preserve">      </w:t>
            </w:r>
            <w:r>
              <w:rPr/>
              <w:t xml:space="preserve">(подпись)  </w:t>
            </w:r>
          </w:p>
          <w:p>
            <w:pPr>
              <w:pStyle w:val="Normal"/>
              <w:jc w:val="both"/>
              <w:rPr/>
            </w:pPr>
            <w:r>
              <w:rPr/>
            </w:r>
          </w:p>
        </w:tc>
        <w:tc>
          <w:tcPr>
            <w:tcW w:w="5633" w:type="dxa"/>
            <w:tcBorders/>
            <w:shd w:fill="auto" w:val="clear"/>
          </w:tcPr>
          <w:p>
            <w:pPr>
              <w:pStyle w:val="Normal"/>
              <w:jc w:val="both"/>
              <w:rPr>
                <w:b/>
                <w:b/>
              </w:rPr>
            </w:pPr>
            <w:r>
              <w:rPr>
                <w:b/>
              </w:rPr>
              <w:t>Фонд:</w:t>
            </w:r>
          </w:p>
          <w:p>
            <w:pPr>
              <w:pStyle w:val="Normal"/>
              <w:jc w:val="both"/>
              <w:rPr>
                <w:b/>
                <w:b/>
              </w:rPr>
            </w:pPr>
            <w:r>
              <w:rPr>
                <w:b/>
              </w:rPr>
            </w:r>
          </w:p>
          <w:p>
            <w:pPr>
              <w:pStyle w:val="Normal"/>
              <w:jc w:val="both"/>
              <w:rPr/>
            </w:pPr>
            <w:r>
              <w:rPr/>
              <w:t>Фонд целевого капитала Пермского университета</w:t>
            </w:r>
          </w:p>
          <w:p>
            <w:pPr>
              <w:pStyle w:val="Normal"/>
              <w:jc w:val="both"/>
              <w:rPr/>
            </w:pPr>
            <w:r>
              <w:rPr/>
              <w:t>ИНН 5903996455 КПП 590301001</w:t>
            </w:r>
          </w:p>
          <w:p>
            <w:pPr>
              <w:pStyle w:val="Normal"/>
              <w:jc w:val="both"/>
              <w:rPr/>
            </w:pPr>
            <w:r>
              <w:rPr/>
              <w:t>ОГРН 1145958015598</w:t>
            </w:r>
          </w:p>
          <w:p>
            <w:pPr>
              <w:pStyle w:val="Normal"/>
              <w:jc w:val="both"/>
              <w:rPr/>
            </w:pPr>
            <w:r>
              <w:rPr/>
              <w:t xml:space="preserve">Адрес: 614990, Российская Федерация, </w:t>
            </w:r>
          </w:p>
          <w:p>
            <w:pPr>
              <w:pStyle w:val="Normal"/>
              <w:jc w:val="both"/>
              <w:rPr/>
            </w:pPr>
            <w:r>
              <w:rPr/>
              <w:t>г. Пермь, ул.Букирева, 15</w:t>
            </w:r>
          </w:p>
          <w:p>
            <w:pPr>
              <w:pStyle w:val="Normal"/>
              <w:jc w:val="both"/>
              <w:rPr/>
            </w:pPr>
            <w:r>
              <w:rPr/>
              <w:t>Телефон/факс: +7 342 298 73 75</w:t>
            </w:r>
          </w:p>
          <w:p>
            <w:pPr>
              <w:pStyle w:val="Normal"/>
              <w:rPr/>
            </w:pPr>
            <w:r>
              <w:rPr/>
              <w:t>Официальный сайт: www.psu.ru/universitet/endowment-psu</w:t>
            </w:r>
          </w:p>
          <w:p>
            <w:pPr>
              <w:pStyle w:val="Normal"/>
              <w:jc w:val="both"/>
              <w:rPr/>
            </w:pPr>
            <w:r>
              <w:rPr/>
              <w:t>Электронная почта: endowment@psu.ru</w:t>
            </w:r>
          </w:p>
          <w:p>
            <w:pPr>
              <w:pStyle w:val="Normal"/>
              <w:jc w:val="both"/>
              <w:rPr/>
            </w:pPr>
            <w:r>
              <w:rPr/>
              <w:t>Банковские реквизиты:</w:t>
            </w:r>
          </w:p>
          <w:p>
            <w:pPr>
              <w:pStyle w:val="Normal"/>
              <w:jc w:val="both"/>
              <w:rPr/>
            </w:pPr>
            <w:r>
              <w:rPr/>
              <w:t>Р/с 40703810549770000732</w:t>
            </w:r>
          </w:p>
          <w:p>
            <w:pPr>
              <w:pStyle w:val="Normal"/>
              <w:jc w:val="both"/>
              <w:rPr/>
            </w:pPr>
            <w:r>
              <w:rPr/>
              <w:t>Волго-Вятский банк ПАО Сбербанк</w:t>
            </w:r>
          </w:p>
          <w:p>
            <w:pPr>
              <w:pStyle w:val="Normal"/>
              <w:jc w:val="both"/>
              <w:rPr/>
            </w:pPr>
            <w:r>
              <w:rPr/>
              <w:t>Кор. счет: 30101810900000000603</w:t>
            </w:r>
          </w:p>
          <w:p>
            <w:pPr>
              <w:pStyle w:val="Normal"/>
              <w:jc w:val="both"/>
              <w:rPr/>
            </w:pPr>
            <w:r>
              <w:rPr/>
              <w:t>БИК 042202603</w:t>
            </w:r>
          </w:p>
          <w:p>
            <w:pPr>
              <w:pStyle w:val="Normal"/>
              <w:jc w:val="both"/>
              <w:rPr>
                <w:sz w:val="16"/>
                <w:szCs w:val="16"/>
              </w:rPr>
            </w:pPr>
            <w:r>
              <w:rPr>
                <w:sz w:val="16"/>
                <w:szCs w:val="16"/>
              </w:rPr>
            </w:r>
          </w:p>
          <w:p>
            <w:pPr>
              <w:pStyle w:val="Normal"/>
              <w:jc w:val="both"/>
              <w:rPr/>
            </w:pPr>
            <w:r>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b/>
                <w:b/>
              </w:rPr>
            </w:pPr>
            <w:r>
              <w:rPr>
                <w:b/>
              </w:rPr>
              <w:t xml:space="preserve">Директор </w:t>
            </w:r>
          </w:p>
          <w:p>
            <w:pPr>
              <w:pStyle w:val="Normal"/>
              <w:jc w:val="both"/>
              <w:rPr/>
            </w:pPr>
            <w:r>
              <w:rPr/>
            </w:r>
          </w:p>
          <w:p>
            <w:pPr>
              <w:pStyle w:val="Normal"/>
              <w:jc w:val="both"/>
              <w:rPr/>
            </w:pPr>
            <w:r>
              <w:rPr/>
              <w:t xml:space="preserve"> </w:t>
            </w:r>
            <w:r>
              <w:rPr/>
              <w:t xml:space="preserve">______________________/К. А. Пунина/ </w:t>
            </w:r>
          </w:p>
          <w:p>
            <w:pPr>
              <w:pStyle w:val="Normal"/>
              <w:jc w:val="both"/>
              <w:rPr/>
            </w:pPr>
            <w:r>
              <w:rPr/>
              <w:t xml:space="preserve">              </w:t>
            </w:r>
            <w:r>
              <w:rPr/>
              <w:t xml:space="preserve">(подпись)                   </w:t>
              <w:tab/>
            </w:r>
          </w:p>
          <w:p>
            <w:pPr>
              <w:pStyle w:val="Normal"/>
              <w:jc w:val="both"/>
              <w:rPr>
                <w:color w:val="FF0000"/>
              </w:rPr>
            </w:pPr>
            <w:r>
              <w:rPr/>
              <w:t xml:space="preserve">                                  </w:t>
            </w:r>
            <w:r>
              <w:rPr/>
              <w:t>М.П.</w:t>
            </w:r>
          </w:p>
        </w:tc>
      </w:tr>
    </w:tbl>
    <w:p>
      <w:pPr>
        <w:pStyle w:val="Normal"/>
        <w:rPr/>
      </w:pPr>
      <w:r>
        <w:rPr/>
      </w:r>
    </w:p>
    <w:sectPr>
      <w:type w:val="nextPage"/>
      <w:pgSz w:w="11906" w:h="16838"/>
      <w:pgMar w:left="1134" w:right="720" w:header="0" w:top="720"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Calibri">
    <w:charset w:val="01"/>
    <w:family w:val="roman"/>
    <w:pitch w:val="variable"/>
  </w:font>
  <w:font w:name="Consultant">
    <w:charset w:val="01"/>
    <w:family w:val="roman"/>
    <w:pitch w:val="variable"/>
  </w:font>
  <w:font w:name="Tahom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85788"/>
    <w:pPr>
      <w:widowControl/>
      <w:bidi w:val="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2" w:customStyle="1">
    <w:name w:val="Основной текст с отступом 2 Знак"/>
    <w:link w:val="2"/>
    <w:qFormat/>
    <w:locked/>
    <w:rsid w:val="009a7aa3"/>
    <w:rPr>
      <w:sz w:val="24"/>
      <w:szCs w:val="24"/>
      <w:lang w:val="ru-RU" w:eastAsia="ru-RU" w:bidi="ar-SA"/>
    </w:rPr>
  </w:style>
  <w:style w:type="character" w:styleId="ListLabel1">
    <w:name w:val="ListLabel 1"/>
    <w:qFormat/>
    <w:rPr>
      <w:rFonts w:cs="Tunga"/>
      <w:b w:val="false"/>
      <w:i w:val="false"/>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1ch" w:customStyle="1">
    <w:name w:val="Заголовок 1.Заголов.ch.Глава.(раздел)"/>
    <w:basedOn w:val="Normal"/>
    <w:autoRedefine/>
    <w:qFormat/>
    <w:rsid w:val="008a3607"/>
    <w:pPr>
      <w:keepNext w:val="true"/>
      <w:spacing w:before="240" w:after="240"/>
      <w:jc w:val="both"/>
    </w:pPr>
    <w:rPr>
      <w:b/>
      <w:bCs/>
      <w:kern w:val="2"/>
      <w:sz w:val="40"/>
      <w:szCs w:val="40"/>
    </w:rPr>
  </w:style>
  <w:style w:type="paragraph" w:styleId="Msolistparagraph" w:customStyle="1">
    <w:name w:val="msolistparagraph"/>
    <w:basedOn w:val="Normal"/>
    <w:qFormat/>
    <w:rsid w:val="00085788"/>
    <w:pPr>
      <w:ind w:left="720" w:hanging="0"/>
    </w:pPr>
    <w:rPr>
      <w:rFonts w:ascii="Calibri" w:hAnsi="Calibri"/>
      <w:sz w:val="22"/>
      <w:szCs w:val="22"/>
    </w:rPr>
  </w:style>
  <w:style w:type="paragraph" w:styleId="Style19" w:customStyle="1">
    <w:name w:val="Нормальный"/>
    <w:basedOn w:val="Normal"/>
    <w:qFormat/>
    <w:rsid w:val="00085788"/>
    <w:pPr>
      <w:spacing w:lineRule="auto" w:line="360"/>
      <w:ind w:firstLine="567"/>
      <w:jc w:val="both"/>
    </w:pPr>
    <w:rPr/>
  </w:style>
  <w:style w:type="paragraph" w:styleId="ConsNonformat" w:customStyle="1">
    <w:name w:val="ConsNonformat"/>
    <w:qFormat/>
    <w:rsid w:val="00085788"/>
    <w:pPr>
      <w:widowControl/>
      <w:bidi w:val="0"/>
      <w:jc w:val="left"/>
    </w:pPr>
    <w:rPr>
      <w:rFonts w:ascii="Consultant" w:hAnsi="Consultant" w:eastAsia="Times New Roman" w:cs="Times New Roman"/>
      <w:color w:val="auto"/>
      <w:kern w:val="0"/>
      <w:sz w:val="24"/>
      <w:szCs w:val="20"/>
      <w:lang w:val="ru-RU" w:eastAsia="ru-RU" w:bidi="ar-SA"/>
    </w:rPr>
  </w:style>
  <w:style w:type="paragraph" w:styleId="BodyTextIndent2">
    <w:name w:val="Body Text Indent 2"/>
    <w:basedOn w:val="Normal"/>
    <w:link w:val="20"/>
    <w:qFormat/>
    <w:rsid w:val="009a7aa3"/>
    <w:pPr>
      <w:spacing w:lineRule="auto" w:line="480" w:before="0" w:after="120"/>
      <w:ind w:left="283" w:hanging="0"/>
    </w:pPr>
    <w:rPr/>
  </w:style>
  <w:style w:type="paragraph" w:styleId="BalloonText">
    <w:name w:val="Balloon Text"/>
    <w:basedOn w:val="Normal"/>
    <w:semiHidden/>
    <w:qFormat/>
    <w:rsid w:val="00d243f6"/>
    <w:pPr/>
    <w:rPr>
      <w:rFonts w:ascii="Tahoma" w:hAnsi="Tahoma" w:cs="Tahoma"/>
      <w:sz w:val="16"/>
      <w:szCs w:val="16"/>
    </w:rPr>
  </w:style>
  <w:style w:type="paragraph" w:styleId="NoSpacing">
    <w:name w:val="No Spacing"/>
    <w:uiPriority w:val="1"/>
    <w:qFormat/>
    <w:rsid w:val="00430295"/>
    <w:pPr>
      <w:widowControl/>
      <w:bidi w:val="0"/>
      <w:jc w:val="both"/>
    </w:pPr>
    <w:rPr>
      <w:rFonts w:eastAsia="Calibri" w:ascii="Times New Roman" w:hAnsi="Times New Roman" w:cs="Times New Roman"/>
      <w:color w:val="auto"/>
      <w:kern w:val="0"/>
      <w:sz w:val="24"/>
      <w:szCs w:val="22"/>
      <w:lang w:eastAsia="en-US" w:val="ru-RU" w:bidi="ar-SA"/>
    </w:rPr>
  </w:style>
  <w:style w:type="paragraph" w:styleId="ConsPlusNormal" w:customStyle="1">
    <w:name w:val="ConsPlusNormal"/>
    <w:qFormat/>
    <w:rsid w:val="004e3f1a"/>
    <w:pPr>
      <w:widowControl/>
      <w:bidi w:val="0"/>
      <w:ind w:firstLine="720"/>
      <w:jc w:val="left"/>
    </w:pPr>
    <w:rPr>
      <w:rFonts w:ascii="Arial" w:hAnsi="Arial" w:cs="Arial" w:eastAsia="Times New Roman"/>
      <w:color w:val="auto"/>
      <w:kern w:val="0"/>
      <w:sz w:val="24"/>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869BD-F01F-4BEC-8DCC-B8F95285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LibreOffice/6.0.7.3$Linux_X86_64 LibreOffice_project/00m0$Build-3</Application>
  <Pages>3</Pages>
  <Words>1175</Words>
  <Characters>8800</Characters>
  <CharactersWithSpaces>10291</CharactersWithSpaces>
  <Paragraphs>92</Paragraphs>
  <Company>Еврофинансы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2024-09-13T10:22:00Z</dcterms:created>
  <dc:creator>Bahtaraeva</dc:creator>
  <dc:description/>
  <dc:language>ru-RU</dc:language>
  <cp:lastModifiedBy>Microsoft Office User</cp:lastModifiedBy>
  <cp:lastPrinted>2014-04-24T11:24:00Z</cp:lastPrinted>
  <dcterms:modified xsi:type="dcterms:W3CDTF">2024-09-13T10:29:00Z</dcterms:modified>
  <cp:revision>4</cp:revision>
  <dc:subject/>
  <dc:title>Договор пожертвования № _____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Еврофинансы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